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="360" w:lineRule="auto"/>
      </w:pPr>
      <w:r>
        <w:rPr>
          <w:rFonts w:ascii="Georgia" w:hAnsi="Georgia" w:eastAsia="SimSun"/>
          <w:b/>
          <w:color w:val="2D3748"/>
          <w:sz w:val="40"/>
        </w:rPr>
        <w:t>中北大学软科中国大学排名提升工作汇报</w:t>
      </w:r>
    </w:p>
    <w:p>
      <w:pPr>
        <w:spacing w:after="80" w:before="0" w:line="360" w:lineRule="auto"/>
      </w:pPr>
      <w:r>
        <w:rPr>
          <w:rFonts w:ascii="Segoe UI" w:hAnsi="Segoe UI" w:eastAsia="Microsoft YaHei"/>
          <w:b w:val="0"/>
          <w:color w:val="5A6A7A"/>
          <w:sz w:val="18"/>
        </w:rPr>
        <w:t>2026 年 11 月 1 日 · 数据截至 2026 年 10 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fill="0D1A39"/>
          </w:tcPr>
          <w:p>
            <w:pPr>
              <w:spacing w:after="40" w:before="40"/>
            </w:pPr>
            <w:r/>
            <w:r>
              <w:rPr>
                <w:rFonts w:ascii="Segoe UI" w:hAnsi="Segoe UI" w:eastAsia="Microsoft YaHei"/>
                <w:b w:val="0"/>
                <w:color w:val="FFFFFF"/>
                <w:sz w:val="21"/>
              </w:rPr>
              <w:t>总判断：三年目标明确，各项差距均有补足来源，实现路径清晰，具备达成条件。</w:t>
            </w:r>
          </w:p>
        </w:tc>
      </w:tr>
    </w:tbl>
    <w:p>
      <w:pPr>
        <w:pStyle w:val="Heading1"/>
      </w:pPr>
      <w:r>
        <w:t>一、目标</w:t>
      </w:r>
    </w:p>
    <w:p>
      <w:pPr>
        <w:spacing w:after="40" w:before="40" w:line="360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1 · 三年目标（名次按 2026 年官方分数分布测算，仅供参考）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CellMar>
          <w:top w:w="0" w:type="dxa"/>
          <w:bottom w:w="0" w:type="dxa"/>
          <w:left w:w="45" w:type="dxa"/>
          <w:right w:w="45" w:type="dxa"/>
        </w:tblCellMar>
        <w:tblLayout w:type="fixed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fill="F5F3EF"/>
          </w:tcPr>
          <w:p>
            <w:pPr>
              <w:spacing w:after="20" w:before="20" w:line="269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2026（官方公布）</w:t>
            </w:r>
          </w:p>
        </w:tc>
        <w:tc>
          <w:tcPr>
            <w:tcW w:type="dxa" w:w="2353"/>
            <w:shd w:val="clear" w:fill="F5F3EF"/>
          </w:tcPr>
          <w:p>
            <w:pPr>
              <w:spacing w:after="20" w:before="20" w:line="269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2027</w:t>
            </w:r>
          </w:p>
        </w:tc>
        <w:tc>
          <w:tcPr>
            <w:tcW w:type="dxa" w:w="2353"/>
            <w:shd w:val="clear" w:fill="F5F3EF"/>
          </w:tcPr>
          <w:p>
            <w:pPr>
              <w:spacing w:after="20" w:before="20" w:line="269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2028</w:t>
            </w:r>
          </w:p>
        </w:tc>
        <w:tc>
          <w:tcPr>
            <w:tcW w:type="dxa" w:w="2353"/>
            <w:shd w:val="clear" w:fill="F5F3EF"/>
          </w:tcPr>
          <w:p>
            <w:pPr>
              <w:spacing w:after="20" w:before="20" w:line="269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2029</w:t>
            </w:r>
          </w:p>
        </w:tc>
      </w:tr>
      <w:tr>
        <w:tc>
          <w:tcPr>
            <w:tcW w:type="dxa" w:w="2353"/>
          </w:tcPr>
          <w:p>
            <w:pPr>
              <w:spacing w:after="20" w:before="20" w:line="269" w:lineRule="auto"/>
              <w:jc w:val="center"/>
            </w:pPr>
            <w:r/>
            <w:r>
              <w:rPr>
                <w:rFonts w:ascii="Georgia" w:hAnsi="Georgia" w:eastAsia="SimSun"/>
                <w:b/>
                <w:color w:val="2D3748"/>
                <w:sz w:val="28"/>
              </w:rPr>
              <w:t>221.5 分</w:t>
            </w:r>
          </w:p>
        </w:tc>
        <w:tc>
          <w:tcPr>
            <w:tcW w:type="dxa" w:w="2353"/>
          </w:tcPr>
          <w:p>
            <w:pPr>
              <w:spacing w:after="20" w:before="20" w:line="269" w:lineRule="auto"/>
              <w:jc w:val="center"/>
            </w:pPr>
            <w:r/>
            <w:r>
              <w:rPr>
                <w:rFonts w:ascii="Georgia" w:hAnsi="Georgia" w:eastAsia="SimSun"/>
                <w:b/>
                <w:color w:val="2D3748"/>
                <w:sz w:val="28"/>
              </w:rPr>
              <w:t>231.0 分</w:t>
            </w:r>
          </w:p>
        </w:tc>
        <w:tc>
          <w:tcPr>
            <w:tcW w:type="dxa" w:w="2353"/>
          </w:tcPr>
          <w:p>
            <w:pPr>
              <w:spacing w:after="20" w:before="20" w:line="269" w:lineRule="auto"/>
              <w:jc w:val="center"/>
            </w:pPr>
            <w:r/>
            <w:r>
              <w:rPr>
                <w:rFonts w:ascii="Georgia" w:hAnsi="Georgia" w:eastAsia="SimSun"/>
                <w:b/>
                <w:color w:val="2D3748"/>
                <w:sz w:val="28"/>
              </w:rPr>
              <w:t>234.5 分</w:t>
            </w:r>
          </w:p>
        </w:tc>
        <w:tc>
          <w:tcPr>
            <w:tcW w:type="dxa" w:w="2353"/>
          </w:tcPr>
          <w:p>
            <w:pPr>
              <w:spacing w:after="20" w:before="20" w:line="269" w:lineRule="auto"/>
              <w:jc w:val="center"/>
            </w:pPr>
            <w:r/>
            <w:r>
              <w:rPr>
                <w:rFonts w:ascii="Georgia" w:hAnsi="Georgia" w:eastAsia="SimSun"/>
                <w:b/>
                <w:color w:val="2D3748"/>
                <w:sz w:val="28"/>
              </w:rPr>
              <w:t>238.1 分</w:t>
            </w:r>
          </w:p>
        </w:tc>
      </w:tr>
      <w:tr>
        <w:tc>
          <w:tcPr>
            <w:tcW w:type="dxa" w:w="2353"/>
          </w:tcPr>
          <w:p>
            <w:pPr>
              <w:spacing w:after="20" w:before="20" w:line="269" w:lineRule="auto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第 144 名</w:t>
            </w:r>
          </w:p>
        </w:tc>
        <w:tc>
          <w:tcPr>
            <w:tcW w:type="dxa" w:w="2353"/>
          </w:tcPr>
          <w:p>
            <w:pPr>
              <w:spacing w:after="20" w:before="20" w:line="269" w:lineRule="auto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第 137 名</w:t>
            </w:r>
          </w:p>
        </w:tc>
        <w:tc>
          <w:tcPr>
            <w:tcW w:type="dxa" w:w="2353"/>
          </w:tcPr>
          <w:p>
            <w:pPr>
              <w:spacing w:after="20" w:before="20" w:line="269" w:lineRule="auto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第 129 名</w:t>
            </w:r>
          </w:p>
        </w:tc>
        <w:tc>
          <w:tcPr>
            <w:tcW w:type="dxa" w:w="2353"/>
          </w:tcPr>
          <w:p>
            <w:pPr>
              <w:spacing w:after="20" w:before="20" w:line="269" w:lineRule="auto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第 125 名</w:t>
            </w:r>
          </w:p>
        </w:tc>
      </w:tr>
    </w:tbl>
    <w:p>
      <w:pPr>
        <w:pStyle w:val="Heading1"/>
      </w:pPr>
      <w:r>
        <w:t>二、三年目标与实现路径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0" w:type="dxa"/>
          <w:bottom w:w="0" w:type="dxa"/>
          <w:left w:w="45" w:type="dxa"/>
          <w:right w:w="45" w:type="dxa"/>
        </w:tblCellMar>
        <w:tblLayout w:type="fixed"/>
      </w:tblPr>
      <w:tblGrid>
        <w:gridCol w:w="793"/>
        <w:gridCol w:w="1417"/>
        <w:gridCol w:w="2608"/>
        <w:gridCol w:w="1984"/>
        <w:gridCol w:w="2608"/>
      </w:tblGrid>
      <w:tr>
        <w:trPr>
          <w:tblHeader w:val="true"/>
        </w:trPr>
        <w:tc>
          <w:tcPr>
            <w:tcW w:type="dxa" w:w="794"/>
            <w:shd w:val="clear" w:fill="0D1A39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年份</w:t>
            </w:r>
          </w:p>
        </w:tc>
        <w:tc>
          <w:tcPr>
            <w:tcW w:type="dxa" w:w="1417"/>
            <w:shd w:val="clear" w:fill="0D1A39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目标</w:t>
            </w:r>
          </w:p>
        </w:tc>
        <w:tc>
          <w:tcPr>
            <w:tcW w:type="dxa" w:w="2608"/>
            <w:shd w:val="clear" w:fill="0D1A39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预计可达</w:t>
            </w:r>
          </w:p>
        </w:tc>
        <w:tc>
          <w:tcPr>
            <w:tcW w:type="dxa" w:w="1984"/>
            <w:shd w:val="clear" w:fill="0D1A39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差距</w:t>
            </w:r>
          </w:p>
        </w:tc>
        <w:tc>
          <w:tcPr>
            <w:tcW w:type="dxa" w:w="2608"/>
            <w:shd w:val="clear" w:fill="0D1A39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补足安排</w:t>
            </w:r>
          </w:p>
        </w:tc>
      </w:tr>
      <w:tr>
        <w:tc>
          <w:tcPr>
            <w:tcW w:type="dxa" w:w="794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2027</w:t>
            </w:r>
          </w:p>
        </w:tc>
        <w:tc>
          <w:tcPr>
            <w:tcW w:type="dxa" w:w="1417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231.0 分 · 第 137 名</w:t>
            </w:r>
          </w:p>
        </w:tc>
        <w:tc>
          <w:tcPr>
            <w:tcW w:type="dxa" w:w="2608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234.1~234.6 分：自然增长 +1.5~2、纳入目标提升 +11.05</w:t>
            </w:r>
          </w:p>
        </w:tc>
        <w:tc>
          <w:tcPr>
            <w:tcW w:type="dxa" w:w="1984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距第 137 名分数线 237.0~239.1 分，差距约 2.4~2.9 分</w:t>
            </w:r>
          </w:p>
        </w:tc>
        <w:tc>
          <w:tcPr>
            <w:tcW w:type="dxa" w:w="2608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备选事项 6 项 +9.32 分，核查确认后补足差距；需追加的提升 +2.9 分：高端人才（师均）空间 +3.49 分</w:t>
            </w:r>
          </w:p>
        </w:tc>
      </w:tr>
      <w:tr>
        <w:tc>
          <w:tcPr>
            <w:tcW w:type="dxa" w:w="9411"/>
            <w:gridSpan w:val="5"/>
            <w:shd w:val="clear" w:fill="F8F6F3"/>
          </w:tcPr>
          <w:p>
            <w:pPr>
              <w:spacing w:after="20" w:before="20" w:line="264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达成依据：</w:t>
            </w:r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纳入目标的提升已经逐项测算；备选全额 +9.32 分补足差距，另有 +3.49 分空间支撑需追加的提升。</w:t>
            </w:r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主要工作：①14项指标逐项核查与台账核对；②毕业生去向落实率口径核对定值；③科研人员规模（折合数）核对定值。</w:t>
            </w:r>
          </w:p>
        </w:tc>
      </w:tr>
      <w:tr>
        <w:tc>
          <w:tcPr>
            <w:tcW w:type="dxa" w:w="794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2028</w:t>
            </w:r>
          </w:p>
        </w:tc>
        <w:tc>
          <w:tcPr>
            <w:tcW w:type="dxa" w:w="1417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234.5 分 · 第 129 名</w:t>
            </w:r>
          </w:p>
        </w:tc>
        <w:tc>
          <w:tcPr>
            <w:tcW w:type="dxa" w:w="2608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239.1~240.1 分：上年预计可达结转，自然增长 +1.5~2、纳入目标的提升 +3.52</w:t>
            </w:r>
          </w:p>
        </w:tc>
        <w:tc>
          <w:tcPr>
            <w:tcW w:type="dxa" w:w="1984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按测算可达到目标；与平均涨幅相比，差距约 6.4~7.4 分</w:t>
            </w:r>
          </w:p>
        </w:tc>
        <w:tc>
          <w:tcPr>
            <w:tcW w:type="dxa" w:w="2608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需追加的提升 +7.4 分：高端人才、教师学历结构、科研人员规模等 3 项空间合计 +8.75 分</w:t>
            </w:r>
          </w:p>
        </w:tc>
      </w:tr>
      <w:tr>
        <w:tc>
          <w:tcPr>
            <w:tcW w:type="dxa" w:w="9411"/>
            <w:gridSpan w:val="5"/>
            <w:shd w:val="clear" w:fill="F8F6F3"/>
          </w:tcPr>
          <w:p>
            <w:pPr>
              <w:spacing w:after="20" w:before="20" w:line="264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达成依据：</w:t>
            </w:r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+2.31 分源于正式报告编制期提前确定数值；+8.75 分提升空间可支撑需追加的提升。</w:t>
            </w:r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主要工作：①正式报告提前规划，编制期先定口径与目标值；②本科毕业生深造率按目标推进；③国家级与认证专业精度按目标推进。</w:t>
            </w:r>
          </w:p>
        </w:tc>
      </w:tr>
      <w:tr>
        <w:tc>
          <w:tcPr>
            <w:tcW w:type="dxa" w:w="794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2029</w:t>
            </w:r>
          </w:p>
        </w:tc>
        <w:tc>
          <w:tcPr>
            <w:tcW w:type="dxa" w:w="1417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238.1 分 · 第 125 名</w:t>
            </w:r>
          </w:p>
        </w:tc>
        <w:tc>
          <w:tcPr>
            <w:tcW w:type="dxa" w:w="2608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244.2~245.7 分：上年预计可达结转，自然增长 +1.5~2、纳入目标的提升 +3.60</w:t>
            </w:r>
          </w:p>
        </w:tc>
        <w:tc>
          <w:tcPr>
            <w:tcW w:type="dxa" w:w="1984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按测算可达到目标；与平均涨幅相比，差距约 10.4~11.9 分</w:t>
            </w:r>
          </w:p>
        </w:tc>
        <w:tc>
          <w:tcPr>
            <w:tcW w:type="dxa" w:w="2608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需追加的提升 +11.9 分：高端人才等 5 项空间合计 +13.55 分</w:t>
            </w:r>
          </w:p>
        </w:tc>
      </w:tr>
      <w:tr>
        <w:tc>
          <w:tcPr>
            <w:tcW w:type="dxa" w:w="9411"/>
            <w:gridSpan w:val="5"/>
            <w:shd w:val="clear" w:fill="F8F6F3"/>
          </w:tcPr>
          <w:p>
            <w:pPr>
              <w:spacing w:after="20" w:before="20" w:line="264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达成依据：</w:t>
            </w:r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+0.74 分源于正式报告编制期提前确定数值；+13.55 分提升空间可支撑需追加的提升。</w:t>
            </w:r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主要工作：①正式报告提前规划，编制期先定口径与目标值；②国家级与认证专业精度按目标推进；③国家级与认证专业（总数）按目标推进。</w:t>
            </w:r>
          </w:p>
        </w:tc>
      </w:tr>
    </w:tbl>
    <w:p>
      <w:pPr>
        <w:spacing w:after="40" w:before="40" w:line="360" w:lineRule="auto"/>
      </w:pPr>
      <w:r>
        <w:rPr>
          <w:rFonts w:ascii="Segoe UI" w:hAnsi="Segoe UI" w:eastAsia="Microsoft YaHei"/>
          <w:b w:val="0"/>
          <w:color w:val="8A9AAA"/>
          <w:sz w:val="18"/>
        </w:rPr>
        <w:t xml:space="preserve">图 · 新增分数构成（条长按新增部分绘制，起点为现有分数）　</w:t>
      </w:r>
      <w:r>
        <w:rPr>
          <w:rFonts w:ascii="Segoe UI" w:hAnsi="Segoe UI" w:eastAsia="Microsoft YaHei"/>
          <w:b w:val="0"/>
          <w:color w:val="57A773"/>
          <w:sz w:val="18"/>
        </w:rPr>
        <w:t xml:space="preserve">■ </w:t>
      </w:r>
      <w:r>
        <w:rPr>
          <w:rFonts w:ascii="Segoe UI" w:hAnsi="Segoe UI" w:eastAsia="Microsoft YaHei"/>
          <w:b w:val="0"/>
          <w:color w:val="2D3748"/>
          <w:sz w:val="18"/>
        </w:rPr>
        <w:t xml:space="preserve">自然增长 </w:t>
      </w:r>
      <w:r>
        <w:rPr>
          <w:rFonts w:ascii="Segoe UI" w:hAnsi="Segoe UI" w:eastAsia="Microsoft YaHei"/>
          <w:b w:val="0"/>
          <w:color w:val="4A90D9"/>
          <w:sz w:val="18"/>
        </w:rPr>
        <w:t xml:space="preserve">■ </w:t>
      </w:r>
      <w:r>
        <w:rPr>
          <w:rFonts w:ascii="Segoe UI" w:hAnsi="Segoe UI" w:eastAsia="Microsoft YaHei"/>
          <w:b w:val="0"/>
          <w:color w:val="2D3748"/>
          <w:sz w:val="18"/>
        </w:rPr>
        <w:t xml:space="preserve">纳入目标的提升 </w:t>
      </w:r>
      <w:r>
        <w:rPr>
          <w:rFonts w:ascii="Segoe UI" w:hAnsi="Segoe UI" w:eastAsia="Microsoft YaHei"/>
          <w:b w:val="0"/>
          <w:color w:val="C9A227"/>
          <w:sz w:val="18"/>
        </w:rPr>
        <w:t xml:space="preserve">■ </w:t>
      </w:r>
      <w:r>
        <w:rPr>
          <w:rFonts w:ascii="Segoe UI" w:hAnsi="Segoe UI" w:eastAsia="Microsoft YaHei"/>
          <w:b w:val="0"/>
          <w:color w:val="2D3748"/>
          <w:sz w:val="18"/>
        </w:rPr>
        <w:t>备选事项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 w:color="auto" w:space="0"/>
          <w:left w:val="none" w:sz="0" w:color="auto" w:space="0"/>
          <w:bottom w:val="none" w:sz="0" w:color="auto" w:space="0"/>
          <w:right w:val="none" w:sz="0" w:color="auto" w:space="0"/>
          <w:insideH w:val="none" w:sz="0" w:color="auto" w:space="0"/>
          <w:insideV w:val="none" w:sz="0" w:color="auto" w:space="0"/>
        </w:tblBorders>
        <w:tblLayout w:type="fixed"/>
        <w:tblCellMar>
          <w:top w:w="0" w:type="dxa"/>
          <w:bottom w:w="0" w:type="dxa"/>
          <w:left w:w="0" w:type="dxa"/>
          <w:right w:w="0" w:type="dxa"/>
        </w:tblCellMar>
      </w:tblPr>
      <w:tblGrid>
        <w:gridCol w:w="1701"/>
        <w:gridCol w:w="810"/>
        <w:gridCol w:w="4462"/>
        <w:gridCol w:w="2438"/>
      </w:tblGrid>
      <w:tr>
        <w:trPr>
          <w:trHeight w:val="141" w:hRule="atLeast"/>
        </w:trPr>
        <w:tc>
          <w:tcPr>
            <w:tcW w:type="dxa" w:w="1701"/>
          </w:tcPr>
          <w:p>
            <w:pPr>
              <w:spacing w:after="20" w:before="20" w:line="240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 xml:space="preserve">2027 </w:t>
            </w:r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· 现有 221.5 分</w:t>
            </w:r>
          </w:p>
        </w:tc>
        <w:tc>
          <w:tcPr>
            <w:tcW w:type="dxa" w:w="811"/>
            <w:shd w:val="clear" w:fill="57A773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FFFFFF"/>
                <w:sz w:val="18"/>
              </w:rPr>
              <w:t>+2.0</w:t>
            </w:r>
          </w:p>
        </w:tc>
        <w:tc>
          <w:tcPr>
            <w:tcW w:type="dxa" w:w="4462"/>
            <w:shd w:val="clear" w:fill="4A90D9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FFFFFF"/>
                <w:sz w:val="18"/>
              </w:rPr>
              <w:t>+11.05</w:t>
            </w:r>
          </w:p>
        </w:tc>
        <w:tc>
          <w:tcPr>
            <w:tcW w:type="dxa" w:w="2438"/>
          </w:tcPr>
          <w:p>
            <w:pPr>
              <w:spacing w:after="20" w:before="20" w:line="24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预计可达（上限）234.6 分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 w:color="auto" w:space="0"/>
          <w:left w:val="none" w:sz="0" w:color="auto" w:space="0"/>
          <w:bottom w:val="none" w:sz="0" w:color="auto" w:space="0"/>
          <w:right w:val="none" w:sz="0" w:color="auto" w:space="0"/>
          <w:insideH w:val="none" w:sz="0" w:color="auto" w:space="0"/>
          <w:insideV w:val="none" w:sz="0" w:color="auto" w:space="0"/>
        </w:tblBorders>
        <w:tblLayout w:type="fixed"/>
        <w:tblCellMar>
          <w:top w:w="0" w:type="dxa"/>
          <w:bottom w:w="0" w:type="dxa"/>
          <w:left w:w="0" w:type="dxa"/>
          <w:right w:w="0" w:type="dxa"/>
        </w:tblCellMar>
      </w:tblPr>
      <w:tblGrid>
        <w:gridCol w:w="1701"/>
        <w:gridCol w:w="810"/>
        <w:gridCol w:w="1423"/>
        <w:gridCol w:w="5477"/>
      </w:tblGrid>
      <w:tr>
        <w:trPr>
          <w:trHeight w:val="141" w:hRule="atLeast"/>
        </w:trPr>
        <w:tc>
          <w:tcPr>
            <w:tcW w:type="dxa" w:w="1701"/>
          </w:tcPr>
          <w:p>
            <w:pPr>
              <w:spacing w:after="20" w:before="20" w:line="240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 xml:space="preserve">2028 </w:t>
            </w:r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· 起点 234.6 分</w:t>
            </w:r>
          </w:p>
        </w:tc>
        <w:tc>
          <w:tcPr>
            <w:tcW w:type="dxa" w:w="811"/>
            <w:shd w:val="clear" w:fill="57A773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FFFFFF"/>
                <w:sz w:val="18"/>
              </w:rPr>
              <w:t>+2.0</w:t>
            </w:r>
          </w:p>
        </w:tc>
        <w:tc>
          <w:tcPr>
            <w:tcW w:type="dxa" w:w="1423"/>
            <w:shd w:val="clear" w:fill="4A90D9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FFFFFF"/>
                <w:sz w:val="18"/>
              </w:rPr>
              <w:t>+3.52</w:t>
            </w:r>
          </w:p>
        </w:tc>
        <w:tc>
          <w:tcPr>
            <w:tcW w:type="dxa" w:w="5477"/>
          </w:tcPr>
          <w:p>
            <w:pPr>
              <w:spacing w:after="20" w:before="20" w:line="24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预计可达（上限）240.1 分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 w:color="auto" w:space="0"/>
          <w:left w:val="none" w:sz="0" w:color="auto" w:space="0"/>
          <w:bottom w:val="none" w:sz="0" w:color="auto" w:space="0"/>
          <w:right w:val="none" w:sz="0" w:color="auto" w:space="0"/>
          <w:insideH w:val="none" w:sz="0" w:color="auto" w:space="0"/>
          <w:insideV w:val="none" w:sz="0" w:color="auto" w:space="0"/>
        </w:tblBorders>
        <w:tblLayout w:type="fixed"/>
        <w:tblCellMar>
          <w:top w:w="0" w:type="dxa"/>
          <w:bottom w:w="0" w:type="dxa"/>
          <w:left w:w="0" w:type="dxa"/>
          <w:right w:w="0" w:type="dxa"/>
        </w:tblCellMar>
      </w:tblPr>
      <w:tblGrid>
        <w:gridCol w:w="1701"/>
        <w:gridCol w:w="810"/>
        <w:gridCol w:w="1457"/>
        <w:gridCol w:w="5443"/>
      </w:tblGrid>
      <w:tr>
        <w:trPr>
          <w:trHeight w:val="141" w:hRule="atLeast"/>
        </w:trPr>
        <w:tc>
          <w:tcPr>
            <w:tcW w:type="dxa" w:w="1701"/>
          </w:tcPr>
          <w:p>
            <w:pPr>
              <w:spacing w:after="20" w:before="20" w:line="240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 xml:space="preserve">2029 </w:t>
            </w:r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· 起点 240.1 分</w:t>
            </w:r>
          </w:p>
        </w:tc>
        <w:tc>
          <w:tcPr>
            <w:tcW w:type="dxa" w:w="811"/>
            <w:shd w:val="clear" w:fill="57A773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FFFFFF"/>
                <w:sz w:val="18"/>
              </w:rPr>
              <w:t>+2.0</w:t>
            </w:r>
          </w:p>
        </w:tc>
        <w:tc>
          <w:tcPr>
            <w:tcW w:type="dxa" w:w="1457"/>
            <w:shd w:val="clear" w:fill="4A90D9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FFFFFF"/>
                <w:sz w:val="18"/>
              </w:rPr>
              <w:t>+3.60</w:t>
            </w:r>
          </w:p>
        </w:tc>
        <w:tc>
          <w:tcPr>
            <w:tcW w:type="dxa" w:w="5443"/>
          </w:tcPr>
          <w:p>
            <w:pPr>
              <w:spacing w:after="20" w:before="20" w:line="24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预计可达（上限）245.7 分</w:t>
            </w:r>
          </w:p>
        </w:tc>
      </w:tr>
    </w:tbl>
    <w:p>
      <w:pPr>
        <w:pStyle w:val="Heading1"/>
        <w:spacing w:before="0"/>
      </w:pPr>
      <w:r>
        <w:t>三、支撑资源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CellMar>
          <w:top w:w="0" w:type="dxa"/>
          <w:bottom w:w="0" w:type="dxa"/>
          <w:left w:w="45" w:type="dxa"/>
          <w:right w:w="45" w:type="dxa"/>
        </w:tblCellMar>
        <w:tblLayout w:type="fixed"/>
      </w:tblPr>
      <w:tblGrid>
        <w:gridCol w:w="2608"/>
        <w:gridCol w:w="2268"/>
        <w:gridCol w:w="2268"/>
        <w:gridCol w:w="2268"/>
      </w:tblGrid>
      <w:tr>
        <w:trPr>
          <w:tblHeader w:val="true"/>
        </w:trPr>
        <w:tc>
          <w:tcPr>
            <w:tcW w:type="dxa" w:w="2608"/>
            <w:shd w:val="clear" w:fill="0D1A39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逐项核查的数据与材料底座</w:t>
            </w:r>
          </w:p>
        </w:tc>
        <w:tc>
          <w:tcPr>
            <w:tcW w:type="dxa" w:w="2268"/>
            <w:shd w:val="clear" w:fill="0D1A39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软科口径测算模型</w:t>
            </w:r>
          </w:p>
        </w:tc>
        <w:tc>
          <w:tcPr>
            <w:tcW w:type="dxa" w:w="2268"/>
            <w:shd w:val="clear" w:fill="0D1A39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正式报告编制统筹</w:t>
            </w:r>
          </w:p>
        </w:tc>
        <w:tc>
          <w:tcPr>
            <w:tcW w:type="dxa" w:w="2268"/>
            <w:shd w:val="clear" w:fill="0D1A39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逐年动态复测</w:t>
            </w:r>
          </w:p>
        </w:tc>
      </w:tr>
      <w:tr>
        <w:tc>
          <w:tcPr>
            <w:tcW w:type="dxa" w:w="2608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100 项指标逐项核查，核查材料共 61 条</w:t>
            </w:r>
          </w:p>
        </w:tc>
        <w:tc>
          <w:tcPr>
            <w:tcW w:type="dxa" w:w="2268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按软科公开方法逐项测算、分数线逐年推算</w:t>
            </w:r>
          </w:p>
        </w:tc>
        <w:tc>
          <w:tcPr>
            <w:tcW w:type="dxa" w:w="2268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报告与统计编制期先行评审口径并确定目标值</w:t>
            </w:r>
          </w:p>
        </w:tc>
        <w:tc>
          <w:tcPr>
            <w:tcW w:type="dxa" w:w="2268"/>
          </w:tcPr>
          <w:p>
            <w:pPr>
              <w:spacing w:after="20" w:before="20" w:line="269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每年新版后复测构成与差距、滚动调整</w:t>
            </w:r>
          </w:p>
        </w:tc>
      </w:tr>
    </w:tbl>
    <w:p>
      <w:pPr>
        <w:spacing w:after="0" w:before="60" w:line="360" w:lineRule="auto"/>
      </w:pPr>
      <w:r>
        <w:rPr>
          <w:rFonts w:ascii="Segoe UI" w:hAnsi="Segoe UI" w:eastAsia="Microsoft YaHei"/>
          <w:b w:val="0"/>
          <w:color w:val="2D3748"/>
          <w:sz w:val="20"/>
        </w:rPr>
        <w:t>本材料所依据的测算与逐项核查，由 mShare 提供技术支持。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624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Segoe UI" w:hAnsi="Segoe UI" w:eastAsia="Microsoft YaHei"/>
        <w:b w:val="0"/>
        <w:color w:val="595959"/>
        <w:sz w:val="17"/>
      </w:rPr>
      <w:t>2026 年 11 月 1 日</w:t>
      <w:tab/>
    </w:r>
    <w:r>
      <w:rPr>
        <w:rFonts w:ascii="Segoe UI" w:hAnsi="Segoe UI" w:eastAsia="Microsoft YaHei"/>
        <w:b w:val="0"/>
        <w:color w:val="595959"/>
        <w:sz w:val="17"/>
      </w:rPr>
      <w:t xml:space="preserve">第 </w:t>
    </w:r>
    <w:r>
      <w:rPr>
        <w:rFonts w:ascii="Segoe UI" w:hAnsi="Segoe UI" w:eastAsia="Microsoft YaHei"/>
        <w:b w:val="0"/>
        <w:color w:val="595959"/>
        <w:sz w:val="17"/>
      </w:rPr>
      <w:fldChar w:fldCharType="begin"/>
      <w:instrText xml:space="preserve">PAGE</w:instrText>
      <w:fldChar w:fldCharType="end"/>
    </w:r>
    <w:r>
      <w:rPr>
        <w:rFonts w:ascii="Segoe UI" w:hAnsi="Segoe UI" w:eastAsia="Microsoft YaHei"/>
        <w:b w:val="0"/>
        <w:color w:val="595959"/>
        <w:sz w:val="17"/>
      </w:rPr>
      <w:t xml:space="preserve"> 页 / 共 </w:t>
    </w:r>
    <w:r>
      <w:rPr>
        <w:rFonts w:ascii="Segoe UI" w:hAnsi="Segoe UI" w:eastAsia="Microsoft YaHei"/>
        <w:b w:val="0"/>
        <w:color w:val="595959"/>
        <w:sz w:val="17"/>
      </w:rPr>
      <w:fldChar w:fldCharType="begin"/>
      <w:instrText xml:space="preserve">NUMPAGES</w:instrText>
      <w:fldChar w:fldCharType="end"/>
    </w:r>
    <w:r>
      <w:rPr>
        <w:rFonts w:ascii="Segoe UI" w:hAnsi="Segoe UI" w:eastAsia="Microsoft YaHei"/>
        <w:b w:val="0"/>
        <w:color w:val="595959"/>
        <w:sz w:val="17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Segoe UI" w:hAnsi="Segoe UI" w:eastAsia="Microsoft YaHei"/>
        <w:b w:val="0"/>
        <w:color w:val="595959"/>
        <w:sz w:val="17"/>
      </w:rPr>
      <w:t>中北大学 · 软科中国大学排名提升工作汇报</w:t>
      <w:tab/>
      <w:t>数据截至 2026 年 10 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/>
    </w:pPr>
    <w:rPr>
      <w:rFonts w:ascii="Segoe UI" w:hAnsi="Segoe UI" w:eastAsia="Microsoft YaHei"/>
      <w:color w:val="2D374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60" w:after="60"/>
      <w:outlineLvl w:val="0"/>
    </w:pPr>
    <w:rPr>
      <w:rFonts w:asciiTheme="majorHAnsi" w:eastAsiaTheme="majorEastAsia" w:hAnsiTheme="majorHAnsi" w:cstheme="majorBidi" w:ascii="Georgia" w:hAnsi="Georgia" w:eastAsia="SimSun"/>
      <w:b/>
      <w:bCs/>
      <w:color w:val="2D3748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Georgia" w:hAnsi="Georgia" w:eastAsia="SimSun"/>
      <w:b/>
      <w:bCs/>
      <w:color w:val="2D3748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