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60" w:lineRule="auto"/>
      </w:pPr>
      <w:r>
        <w:rPr>
          <w:rFonts w:ascii="Georgia" w:hAnsi="Georgia" w:eastAsia="SimSun"/>
          <w:b/>
          <w:color w:val="2D3748"/>
          <w:sz w:val="40"/>
        </w:rPr>
        <w:t>中北大学软科中国大学排名提升工作简报</w:t>
      </w:r>
    </w:p>
    <w:p>
      <w:pPr>
        <w:spacing w:after="80" w:before="0" w:line="360" w:lineRule="auto"/>
      </w:pPr>
      <w:r>
        <w:rPr>
          <w:rFonts w:ascii="Georgia" w:hAnsi="Georgia" w:eastAsia="SimSun"/>
          <w:b w:val="0"/>
          <w:color w:val="4A90D9"/>
          <w:sz w:val="26"/>
        </w:rPr>
        <w:t>2027 年提升目标与三年工作安排</w:t>
      </w:r>
    </w:p>
    <w:p>
      <w:pPr>
        <w:spacing w:after="160" w:before="0" w:line="360" w:lineRule="auto"/>
      </w:pPr>
      <w:r>
        <w:rPr>
          <w:rFonts w:ascii="Segoe UI" w:hAnsi="Segoe UI" w:eastAsia="Microsoft YaHei"/>
          <w:b w:val="0"/>
          <w:color w:val="5A6A7A"/>
          <w:sz w:val="18"/>
        </w:rPr>
        <w:t>版本 V1.0 · 2026 年 11 月 1 日 · 数据截至 2026 年 10 月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目标值一览（总分为目标任务口径；名次按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  <w:tc>
          <w:tcPr>
            <w:tcW w:type="dxa" w:w="1882"/>
            <w:shd w:val="clear" w:fill="F5F3EF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2030（延伸）</w:t>
            </w:r>
          </w:p>
        </w:tc>
      </w:tr>
      <w:tr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221.5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231.0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234.5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238.1 分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238.1 分</w:t>
            </w:r>
          </w:p>
        </w:tc>
      </w:tr>
      <w:tr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144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137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129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125 名</w:t>
            </w:r>
          </w:p>
        </w:tc>
        <w:tc>
          <w:tcPr>
            <w:tcW w:type="dxa" w:w="1882"/>
          </w:tcPr>
          <w:p>
            <w:pPr>
              <w:spacing w:after="40" w:before="40" w:line="312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125 名</w:t>
            </w:r>
          </w:p>
        </w:tc>
      </w:tr>
    </w:tbl>
    <w:p>
      <w:pPr>
        <w:spacing w:after="80" w:before="200" w:line="360" w:lineRule="auto"/>
      </w:pPr>
      <w:r>
        <w:rPr>
          <w:rFonts w:ascii="Georgia" w:hAnsi="Georgia" w:eastAsia="SimSun"/>
          <w:b/>
          <w:color w:val="2D3748"/>
          <w:sz w:val="25"/>
        </w:rPr>
        <w:t>目录</w:t>
      </w:r>
    </w:p>
    <w:p>
      <w:r>
        <w:rPr>
          <w:rFonts w:ascii="Segoe UI" w:hAnsi="Segoe UI" w:eastAsia="Microsoft YaHei"/>
          <w:b w:val="0"/>
          <w:color w:val="595959"/>
          <w:sz w:val="17"/>
        </w:rPr>
        <w:fldChar w:fldCharType="begin"/>
        <w:instrText xml:space="preserve">TOC \o "1-1" \h \z \u</w:instrText>
        <w:fldChar w:fldCharType="end"/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一、基本情况与总体判断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二、2027 年重点工作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三、2028—2030 年工作安排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四、工作分工与需协调事项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五、数据来源与有关说明</w:t>
      </w:r>
    </w:p>
    <w:p>
      <w:pPr>
        <w:spacing w:after="40" w:before="0" w:line="360" w:lineRule="auto"/>
      </w:pPr>
      <w:r>
        <w:rPr>
          <w:rFonts w:ascii="Segoe UI" w:hAnsi="Segoe UI" w:eastAsia="Microsoft YaHei"/>
          <w:b w:val="0"/>
          <w:color w:val="5A6A7A"/>
          <w:sz w:val="21"/>
        </w:rPr>
        <w:t>附录</w:t>
      </w:r>
    </w:p>
    <w:p>
      <w:pPr>
        <w:pStyle w:val="Heading1"/>
      </w:pPr>
      <w:r>
        <w:t>一、基本情况与总体判断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基本情况。</w:t>
      </w:r>
      <w:r>
        <w:rPr>
          <w:rFonts w:ascii="Segoe UI" w:hAnsi="Segoe UI" w:eastAsia="Microsoft YaHei"/>
          <w:b w:val="0"/>
          <w:color w:val="2D3748"/>
          <w:sz w:val="21"/>
        </w:rPr>
        <w:t>中北大学 2026 年官方公布总分 221.5 分、第 144 名。按官方计分规则逐项测算，基线为 219.9 分，与官方公布值相差 1.6 分，差异原因待逐项核对后说明。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目标任务。</w:t>
      </w:r>
      <w:r>
        <w:rPr>
          <w:rFonts w:ascii="Segoe UI" w:hAnsi="Segoe UI" w:eastAsia="Microsoft YaHei"/>
          <w:b w:val="0"/>
          <w:color w:val="2D3748"/>
          <w:sz w:val="21"/>
        </w:rPr>
        <w:t>2027 年目标为 231.0 分，由 14 项已逐项核查的事项计入增分 11.05 分，自基线起算。名次按 2026 年官方分数分布测算约为第 137 名，仅供参考。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第 137 名分数线随同类学校整体进步逐年上移，2027 年预计为 237.0~239.1 分。本校预期可达 234.1~234.6 分，与分数线下限尚差约 2.4~2.9 分。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主要措施。</w:t>
      </w:r>
      <w:r>
        <w:rPr>
          <w:rFonts w:ascii="Segoe UI" w:hAnsi="Segoe UI" w:eastAsia="Microsoft YaHei"/>
          <w:b w:val="0"/>
          <w:color w:val="2D3748"/>
          <w:sz w:val="21"/>
        </w:rPr>
        <w:t>弥补差距的措施有三项：一是纳入目标的事项先行落实；二是备选事项逐项核查后据实计入；三是毕业生去向落实率先行核对、保持不出现回落。长线安排以抓好正式报告编制与数据统筹为先导。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下一步工作。</w:t>
      </w:r>
      <w:r>
        <w:rPr>
          <w:rFonts w:ascii="Segoe UI" w:hAnsi="Segoe UI" w:eastAsia="Microsoft YaHei"/>
          <w:b w:val="0"/>
          <w:color w:val="2D3748"/>
          <w:sz w:val="21"/>
        </w:rPr>
        <w:t>先行开展一轮逐项核对。各部门提供现有台账与报告底稿即可，无需另行填报或统计；核对后形成学校核对版方案。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基线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219.9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＋ 纳入目标增分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11.05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＝ 目标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231.0 分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；预期可达 234.1~234.6 分，下限尚差约 2.9 分。</w:t>
            </w:r>
          </w:p>
        </w:tc>
      </w:tr>
    </w:tbl>
    <w:p>
      <w:pPr>
        <w:spacing w:after="40"/>
      </w:pPr>
    </w:p>
    <w:p>
      <w:pPr>
        <w:pStyle w:val="Heading1"/>
      </w:pPr>
      <w:r>
        <w:t>二、2027 年重点工作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2027 版所用数据年份多数已经定格，本年可办理的主要是核对重算与通过官方渠道更正。下表 20 项均已逐项核查，纳入目标项与备选事项分开列示。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2 · 2027 年逐项核查20项：纳入目标项与备选事项（单位：分）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928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187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现状值 → 目标值</w:t>
            </w:r>
          </w:p>
        </w:tc>
        <w:tc>
          <w:tcPr>
            <w:tcW w:type="dxa" w:w="73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计入目标（分）</w:t>
            </w:r>
          </w:p>
        </w:tc>
        <w:tc>
          <w:tcPr>
            <w:tcW w:type="dxa" w:w="73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全额（分）</w:t>
            </w:r>
          </w:p>
        </w:tc>
        <w:tc>
          <w:tcPr>
            <w:tcW w:type="dxa" w:w="4139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主要措施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教师职称结构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46.63% → 58.02%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+2.44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+2.44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靠年度职称评审与引进节奏推进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研本比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0.1712 → 0.2497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+1.99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+1.99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靠研究生招生规模与本科规模结构的相对变化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科创竞赛奖（生均折合数）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0.0080 → 0.0105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+1.73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+1.73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名单核对型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国际合作论文比例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10.57% → 20.30%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+1.44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+1.44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存量论文不可改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师生比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0.0490 → 0.0597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+1.29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+1.29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靠教师增量与招生结构的相对变化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留学生比例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0.27% → 1.14%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名册核对型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国际期刊论文（师均）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4.57 篇 → 6.27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+0.51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+0.51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旁证定边界、核对定真值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国际期刊论文质量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1.091 → 1.261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+0.48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口径核查型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学校收入（生均）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6.47 万元 → 7.17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+0.25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口径核对型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国际期刊论文（总数）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9,061 篇 → 11,148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+0.18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归属核查型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论文被引总次数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125,162 次 → 170,095 次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只核口径不冲量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社会捐赠收入（总额）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263.8 万元 → 1,495.2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+0.05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核查型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国际期刊顶尖论文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188 篇 → 218.5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口径登记型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授课教授比例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99.30% → 99.45%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核查型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本科毕业生毕业去向落实率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79.48% → 守住并核口径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+2.09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守住靠就业工作与如实填报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本科毕业生深造率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28.80% → 35.90%（2028 计入）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+1.73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报告已确定型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31.59 万元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+2.34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台账核对型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科研人员规模（折合数）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5,386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+2.63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台账核查型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教师规模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2,108 人 → 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+0.41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台账核查型</w:t>
            </w:r>
          </w:p>
        </w:tc>
      </w:tr>
      <w:tr>
        <w:tc>
          <w:tcPr>
            <w:tcW w:type="dxa" w:w="19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中文期刊论文（总数）</w:t>
            </w:r>
          </w:p>
        </w:tc>
        <w:tc>
          <w:tcPr>
            <w:tcW w:type="dxa" w:w="187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215 篇 → 543 篇（引擎目标）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+0.12</w:t>
            </w:r>
          </w:p>
        </w:tc>
        <w:tc>
          <w:tcPr>
            <w:tcW w:type="dxa" w:w="41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口径核查型</w:t>
            </w:r>
          </w:p>
        </w:tc>
      </w:tr>
      <w:tr>
        <w:tc>
          <w:tcPr>
            <w:tcW w:type="dxa" w:w="1928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20项合计</w:t>
            </w:r>
          </w:p>
        </w:tc>
        <w:tc>
          <w:tcPr>
            <w:tcW w:type="dxa" w:w="1871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—</w:t>
            </w:r>
          </w:p>
        </w:tc>
        <w:tc>
          <w:tcPr>
            <w:tcW w:type="dxa" w:w="73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+11.05</w:t>
            </w:r>
          </w:p>
        </w:tc>
        <w:tc>
          <w:tcPr>
            <w:tcW w:type="dxa" w:w="73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+20.37</w:t>
            </w:r>
          </w:p>
        </w:tc>
        <w:tc>
          <w:tcPr>
            <w:tcW w:type="dxa" w:w="4139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纳入目标14项合计 +11.05 分、目标 231.0 分；未计入 +9.32 分为备选事项；全部落实 240.3 分</w:t>
            </w:r>
          </w:p>
        </w:tc>
      </w:tr>
    </w:tbl>
    <w:p>
      <w:pPr>
        <w:pStyle w:val="Heading2"/>
      </w:pPr>
      <w:r>
        <w:t>自然增长情况（不计入目标，计入预期测算）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自然增长，指不采取新的专项措施时，随学校既有发展态势带来的分数变化。2027 版估算为 +1.5~+2 分，只计入预期测算，不计入目标，目标与预期分开列示。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估算依据为基年公开数据：OpenAlex 国际期刊论文 2023 年 1,621 篇→2025 年 2,627 篇（+62%）、年被引 37,739→60,851 次（+61%），ESI 前 1% 学科 3 个（工程学、材料科学、化学）。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国家自然科学基金 2024 年 63 项（重点 1、面上 9、青年 53）、2025 年国自然与国社科重点项目各 1 项，在学研究生 6,745 人（2023 年）→8 千余人（2026 年 9 月）、三年净增约 1,300 人。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国家级人才 2024 年获批 15 人、2025 年引进高层次人才 13 人并自主培育国家级与部委级人才 11 人。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每年新版发布前，以新的公开数据滚动复核。</w:t>
      </w:r>
    </w:p>
    <w:p>
      <w:pPr>
        <w:pStyle w:val="Heading2"/>
      </w:pPr>
      <w:r>
        <w:t>需先行核对事项：毕业生去向落实率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本科毕业生毕业去向落实率现值 79.48%（平台记录），本项列为备选事项，先取得近届就业质量报告原文与年终口径台账核对定值。可能影响分值待核对后确定，不预先扣除，不计入本简报任何合计。</w:t>
      </w:r>
    </w:p>
    <w:p>
      <w:pPr>
        <w:pStyle w:val="Heading1"/>
      </w:pPr>
      <w:r>
        <w:t>三、2028—2030 年工作安排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三年只设一条目标线：分数逐年提升，名次按当年分布测算、仅供参考。2027 年以逐项核对为主，2028 年起建设事项（排课、评审、招生、经费）陆续生效，2029 年以保持已确定成果与持续建设为主，2030 年为延伸年。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3 · 逐年目标（增分自基线 219.9 分起算）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020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年份</w:t>
            </w:r>
          </w:p>
        </w:tc>
        <w:tc>
          <w:tcPr>
            <w:tcW w:type="dxa" w:w="90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总分</w:t>
            </w:r>
          </w:p>
        </w:tc>
        <w:tc>
          <w:tcPr>
            <w:tcW w:type="dxa" w:w="907"/>
            <w:shd w:val="clear" w:fill="0D1A39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较基线增加（分）</w:t>
            </w:r>
          </w:p>
        </w:tc>
        <w:tc>
          <w:tcPr>
            <w:tcW w:type="dxa" w:w="1134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名次</w:t>
            </w:r>
          </w:p>
        </w:tc>
        <w:tc>
          <w:tcPr>
            <w:tcW w:type="dxa" w:w="5443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当年要点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2027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231.0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+11.05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137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纳入目标14项落实、备选事项逐项核对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2028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234.5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+14.57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129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行动 7 项计入 +3.52；正式报告与统计进入编制期安排，2027 年已确定的 +6.57 分保持不回落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2029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238.1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+18.17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125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行动 13 项计入 +3.60；2028 年已确定的 +2.31 分保持不回落</w:t>
            </w:r>
          </w:p>
        </w:tc>
      </w:tr>
      <w:tr>
        <w:tc>
          <w:tcPr>
            <w:tcW w:type="dxa" w:w="102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2030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238.1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+18.17</w:t>
            </w:r>
          </w:p>
        </w:tc>
        <w:tc>
          <w:tcPr>
            <w:tcW w:type="dxa" w:w="113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125 名</w:t>
            </w:r>
          </w:p>
        </w:tc>
        <w:tc>
          <w:tcPr>
            <w:tcW w:type="dxa" w:w="5443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延伸年，与 2029 年同值，不另设新目标</w:t>
            </w:r>
          </w:p>
        </w:tc>
      </w:tr>
    </w:tbl>
    <w:p>
      <w:pPr>
        <w:spacing w:after="16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2028 年行动 7 项计入 +3.52 分，其中经正式报告与统计正式确定的为 +2.31 分，与其余 +1.21 分各计一次、不重复；2029 年 13 项计入 +3.60 分。</w:t>
      </w:r>
    </w:p>
    <w:p>
      <w:pPr>
        <w:pStyle w:val="Heading2"/>
        <w:pBdr>
          <w:left w:val="single" w:sz="24" w:color="A5813F" w:space="8"/>
        </w:pBdr>
        <w:ind w:left="198"/>
      </w:pPr>
      <w:r>
        <w:rPr>
          <w:rFonts w:ascii="Georgia" w:hAnsi="Georgia" w:eastAsia="SimSun"/>
          <w:b/>
          <w:color w:val="2D3748"/>
          <w:sz w:val="25"/>
        </w:rPr>
        <w:t>抓好正式报告编制与数据统筹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学校正式报告与法定统计是多项指标的数据来源：口径在编制期先行评审、写进正式文本，发布后即为各方共同依据。软科方法页对数据缺失另有处理规则：缺失时依次采用旧版数据，再缺失按同类同省学校最小值替代——报告按时、按统一口径发布，本身就是保持分数稳定的前提。</w:t>
      </w:r>
    </w:p>
    <w:p>
      <w:pPr>
        <w:spacing w:after="8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本版（2027）涉及的报告与统计的核对状态如下表；自下一版起，正式报告编制转入编制期统筹安排。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4 · 本版已发布报告与统计的核对状态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38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报告与统计</w:t>
            </w:r>
          </w:p>
        </w:tc>
        <w:tc>
          <w:tcPr>
            <w:tcW w:type="dxa" w:w="2494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责任部门</w:t>
            </w:r>
          </w:p>
        </w:tc>
        <w:tc>
          <w:tcPr>
            <w:tcW w:type="dxa" w:w="4535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核对状态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本科教学质量报告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教务处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已发布至 2023–2024 学年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毕业生就业质量报告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学生工作部 · 就业指导中心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独立成册公开止于 2020 届</w:t>
            </w:r>
          </w:p>
        </w:tc>
      </w:tr>
      <w:tr>
        <w:tc>
          <w:tcPr>
            <w:tcW w:type="dxa" w:w="238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教育事业统计（高基表）</w:t>
            </w:r>
          </w:p>
        </w:tc>
        <w:tc>
          <w:tcPr>
            <w:tcW w:type="dxa" w:w="249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人事处 · 发展规划处（统筹） · 团委 · 创新创业学院 · 国际交流合作处 · 学科建设处 · 教务处 · 科学技术处</w:t>
            </w:r>
          </w:p>
        </w:tc>
        <w:tc>
          <w:tcPr>
            <w:tcW w:type="dxa" w:w="45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无公开版本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编制期安排：就业质量报告每年 11–12 月编制、12 月 31 日前发布；教学质量报告按学年节奏编制；高基表以 9 月 1 日为统计时点。三类报告与统计在编制期先做口径预审，再正式定稿；全量 100 项中，以正式报告与统计为依据的 23 项见附录 A2。</w:t>
      </w:r>
    </w:p>
    <w:p>
      <w:pPr>
        <w:pStyle w:val="Heading1"/>
      </w:pPr>
      <w:r>
        <w:t>四、工作分工与需协调事项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2D3748"/>
          <w:sz w:val="21"/>
        </w:rPr>
        <w:t>本节按部门列出需提供的现有材料，均为台账与报告底稿，无需另行填报或统计。有关口径由发展规划处统筹把握；先行自查并列出差异后，再请各部门确认。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5 · 各部门需提供材料清单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041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部门</w:t>
            </w:r>
          </w:p>
        </w:tc>
        <w:tc>
          <w:tcPr>
            <w:tcW w:type="dxa" w:w="3742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请提供材料</w:t>
            </w:r>
          </w:p>
        </w:tc>
        <w:tc>
          <w:tcPr>
            <w:tcW w:type="dxa" w:w="3628"/>
            <w:shd w:val="clear" w:fill="0D1A3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对应事项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发展规划处（统筹）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汇总协调，不另备材料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全校核对统筹；基线差异 1.6 分逐项归因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人事处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高基表专任教师明细（职称分列、学历分列、时点总数）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教师职称结构、教师规模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团委 · 创新创业学院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2022–2026 竞赛窗口 A 类赛事获奖台账（逐项含届次），与主办方公示名单逐条核对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科创竞赛奖（生均折合数）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科学技术处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国际合作论文比例、国际期刊论文（师均）、国际期刊论文质量等 9 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国际交流合作处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留学生比例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财务处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最新年度决算公开文本（8 月公开）与收入、捐赠科目口径说明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学校收入（生均）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校友工作部 · 教育发展基金会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社会捐赠收入（总额）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教务处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最新学年（2023–2024）本科教学质量报告，或正教授名单与本科授课名单、课表学时统计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授课教授比例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学生工作部 · 就业指导中心</w:t>
            </w:r>
          </w:p>
        </w:tc>
        <w:tc>
          <w:tcPr>
            <w:tcW w:type="dxa" w:w="374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本科毕业生毕业去向落实率、本科毕业生深造率</w:t>
            </w:r>
          </w:p>
        </w:tc>
      </w:tr>
    </w:tbl>
    <w:p>
      <w:pPr>
        <w:pStyle w:val="Heading1"/>
      </w:pPr>
      <w:r>
        <w:t>五、数据来源与有关说明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测算基线。</w:t>
      </w:r>
      <w:r>
        <w:rPr>
          <w:rFonts w:ascii="Segoe UI" w:hAnsi="Segoe UI" w:eastAsia="Microsoft YaHei"/>
          <w:b w:val="0"/>
          <w:color w:val="2D3748"/>
          <w:sz w:val="21"/>
        </w:rPr>
        <w:t>本简报全部增分只从模型基线 219.9 分起算，不与官方 221.5 分直接相加。1.6 分差异待学校提供统计底稿后逐项核对，落实到具体指标后另出学校核对版。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名次换算。</w:t>
      </w:r>
      <w:r>
        <w:rPr>
          <w:rFonts w:ascii="Segoe UI" w:hAnsi="Segoe UI" w:eastAsia="Microsoft YaHei"/>
          <w:b w:val="0"/>
          <w:color w:val="2D3748"/>
          <w:sz w:val="21"/>
        </w:rPr>
        <w:t>文中名次均为按 2026 年官方分数分布测算的结果，仅供参考；分数增减以逐项核查结果为准。同段学校整体进步带来的分数线上移，已在预期测算中单独计入（压力测算：目标分数线近 5 年年均 +6 分、近 3 年年均 +9.5 分）。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数据来源。</w:t>
      </w:r>
      <w:r>
        <w:rPr>
          <w:rFonts w:ascii="Segoe UI" w:hAnsi="Segoe UI" w:eastAsia="Microsoft YaHei"/>
          <w:b w:val="0"/>
          <w:color w:val="2D3748"/>
          <w:sz w:val="21"/>
        </w:rPr>
        <w:t>计分规则与指标定义以软科公开方法为准；本校现值以学校正式发布报告与公开渠道逐项核查。逐项核查材料共 61 条，逐项状态见附录 A4；指标分类与 2028、2029 年行动为按规则初选，未逐项核查。测算由 mShare 提供技术支持。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/>
          <w:color w:val="2D3748"/>
          <w:sz w:val="21"/>
        </w:rPr>
        <w:t>版本说明。</w:t>
      </w:r>
      <w:r>
        <w:rPr>
          <w:rFonts w:ascii="Segoe UI" w:hAnsi="Segoe UI" w:eastAsia="Microsoft YaHei"/>
          <w:b w:val="0"/>
          <w:color w:val="2D3748"/>
          <w:sz w:val="21"/>
        </w:rPr>
        <w:t>本简报版本 V1.0，数据截至 2026 年 10 月。专题页面更新后以页面为准，本简报同步出新版。本简报为诊断简报的深化落实版，逐项数据以本简报为准。</w:t>
      </w:r>
    </w:p>
    <w:p>
      <w:pPr>
        <w:spacing w:after="120" w:before="12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2026 年 11 月 1 日</w:t>
      </w:r>
    </w:p>
    <w:p>
      <w:r>
        <w:br w:type="page"/>
      </w:r>
    </w:p>
    <w:p>
      <w:pPr>
        <w:pStyle w:val="Heading1"/>
      </w:pPr>
      <w:r>
        <w:t>附录</w:t>
      </w:r>
    </w:p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附录供查对，不计入主体页数；所列数字与正文一致。</w:t>
      </w:r>
    </w:p>
    <w:p>
      <w:pPr>
        <w:pStyle w:val="Heading2"/>
      </w:pPr>
      <w:r>
        <w:t>A1 · 逐项测算明细与备选事项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A1 · 2027 年逐项核查20项全表（单位：分）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2041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</w:t>
            </w:r>
          </w:p>
        </w:tc>
        <w:tc>
          <w:tcPr>
            <w:tcW w:type="dxa" w:w="124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现值</w:t>
            </w:r>
          </w:p>
        </w:tc>
        <w:tc>
          <w:tcPr>
            <w:tcW w:type="dxa" w:w="124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目标值</w:t>
            </w:r>
          </w:p>
        </w:tc>
        <w:tc>
          <w:tcPr>
            <w:tcW w:type="dxa" w:w="73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计入目标（分）</w:t>
            </w:r>
          </w:p>
        </w:tc>
        <w:tc>
          <w:tcPr>
            <w:tcW w:type="dxa" w:w="73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全额（分）</w:t>
            </w:r>
          </w:p>
        </w:tc>
        <w:tc>
          <w:tcPr>
            <w:tcW w:type="dxa" w:w="3402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状态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教师职称结构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46.63%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58.02%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+2.44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+2.44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研本比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0.1712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0.2497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+1.99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+1.99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科创竞赛奖（生均折合数）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0.0080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0.0105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+1.73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+1.73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国际合作论文比例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10.57%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20.30%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+1.44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+1.44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师生比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0.0490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0.0597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+1.29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+1.29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留学生比例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0.27%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1.14%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国际期刊论文（师均）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4.57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6.27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+0.51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+0.51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国际期刊论文质量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1.091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1.261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+0.48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学校收入（生均）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6.47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7.17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+0.25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国际期刊论文（总数）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9,061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11,148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+0.18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+0.18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论文被引总次数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125,162 次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170,095 次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+0.09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社会捐赠收入（总额）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263.8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1,495.2 万元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+0.05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+0.05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国际期刊顶尖论文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188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218.5 篇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+0.04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授课教授比例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99.30%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99.45%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+0.02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本科毕业生毕业去向落实率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79.48%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守住并核口径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+2.09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本科毕业生深造率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28.80%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35.90%（2028 计入）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+1.73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科研经费（师均）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31.59 万元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+2.34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科研人员规模（折合数）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5,386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+2.63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教师规模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2,108 人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核对后定档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+0.41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204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中文期刊论文（总数）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215 篇</w:t>
            </w:r>
          </w:p>
        </w:tc>
        <w:tc>
          <w:tcPr>
            <w:tcW w:type="dxa" w:w="124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543 篇（引擎目标）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73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+0.12</w:t>
            </w:r>
          </w:p>
        </w:tc>
        <w:tc>
          <w:tcPr>
            <w:tcW w:type="dxa" w:w="3402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5A6A7A"/>
          <w:sz w:val="19"/>
        </w:rPr>
        <w:t>备选事项 5 项（国家科研项目（师均）、国家级与认证专业（总数）、发明专利授权（师均）、博士点数、高端人才（师均））：待学校底表核对后定数，全部计入估算 +1.7~3.8 分，不计入首年合计。</w:t>
      </w:r>
    </w:p>
    <w:p>
      <w:pPr>
        <w:pStyle w:val="Heading2"/>
      </w:pPr>
      <w:r>
        <w:t>A2 · 指标分类汇总与正式报告对应关系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A2-1 · 全量 100 项按处理方式分类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814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类别</w:t>
            </w:r>
          </w:p>
        </w:tc>
        <w:tc>
          <w:tcPr>
            <w:tcW w:type="dxa" w:w="907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项数</w:t>
            </w:r>
          </w:p>
        </w:tc>
        <w:tc>
          <w:tcPr>
            <w:tcW w:type="dxa" w:w="6690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说明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报告统计类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以正式报告与统计为依据，编制期先行评审口径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台账核对类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以学校台账与官方名单逐项核对后定数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建设推进类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22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靠年度建设推进，增量作用于后续版本</w:t>
            </w:r>
          </w:p>
        </w:tc>
      </w:tr>
      <w:tr>
        <w:tc>
          <w:tcPr>
            <w:tcW w:type="dxa" w:w="1814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观察类</w:t>
            </w:r>
          </w:p>
        </w:tc>
        <w:tc>
          <w:tcPr>
            <w:tcW w:type="dxa" w:w="907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32</w:t>
            </w:r>
          </w:p>
        </w:tc>
        <w:tc>
          <w:tcPr>
            <w:tcW w:type="dxa" w:w="6690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仅作观察，不计入目标与预期</w:t>
            </w:r>
          </w:p>
        </w:tc>
      </w:tr>
      <w:tr>
        <w:tc>
          <w:tcPr>
            <w:tcW w:type="dxa" w:w="1814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907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100</w:t>
            </w:r>
          </w:p>
        </w:tc>
        <w:tc>
          <w:tcPr>
            <w:tcW w:type="dxa" w:w="6690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全量分类不在本简报载录，本表仅列汇总</w:t>
            </w:r>
          </w:p>
        </w:tc>
      </w:tr>
    </w:tbl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A2-2 · 正式报告与统计的对应关系和责任部门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835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报告与统计</w:t>
            </w:r>
          </w:p>
        </w:tc>
        <w:tc>
          <w:tcPr>
            <w:tcW w:type="dxa" w:w="2608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责任部门</w:t>
            </w:r>
          </w:p>
        </w:tc>
        <w:tc>
          <w:tcPr>
            <w:tcW w:type="dxa" w:w="3969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对应事项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毕业生就业质量报告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学生工作部 · 就业指导中心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本科毕业生毕业去向落实率、本科毕业生深造率；深造率按年定目标（约 34%）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本科教学质量报告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教务处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授课教授比例、教授授课率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教育事业统计（高基表）与学校正式发布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人事处 · 发展规划处（统筹） · 国际交流合作处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教师职称结构、研本比等 11 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部门决算与财务公开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 · 财务处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学校收入（生均）、学校收入（总额）等 5 项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基金会年报与捐赠入账记录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校友工作部 · 教育发展基金会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社会捐赠收入（总额）</w:t>
            </w:r>
          </w:p>
        </w:tc>
      </w:tr>
      <w:tr>
        <w:tc>
          <w:tcPr>
            <w:tcW w:type="dxa" w:w="283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平台与专业认定名单归集</w:t>
            </w:r>
          </w:p>
        </w:tc>
        <w:tc>
          <w:tcPr>
            <w:tcW w:type="dxa" w:w="260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</w:t>
            </w:r>
          </w:p>
        </w:tc>
        <w:tc>
          <w:tcPr>
            <w:tcW w:type="dxa" w:w="3969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科研平台（师均折合数）、科研平台（折合数）</w:t>
            </w:r>
          </w:p>
        </w:tc>
      </w:tr>
    </w:tbl>
    <w:p>
      <w:pPr>
        <w:pStyle w:val="Heading2"/>
      </w:pPr>
      <w:r>
        <w:t>A3 · 年度重要时间节点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A3 · 年度重要时间节点（按月份列示）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907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月份</w:t>
            </w:r>
          </w:p>
        </w:tc>
        <w:tc>
          <w:tcPr>
            <w:tcW w:type="dxa" w:w="4876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节点</w:t>
            </w:r>
          </w:p>
        </w:tc>
        <w:tc>
          <w:tcPr>
            <w:tcW w:type="dxa" w:w="3628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影响版本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爱思唯尔中国高被引科学家名单发布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下一版核查参考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3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科技统计年报报送；国家自然科学基金集中申报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版（数据生产）；2029 版起（项目增量）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4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软科中国大学排名发布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当版（结果与核查核对）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6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部门决算编制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7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毕业生去向登记查漏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8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部门决算公开 · 落实率统计截止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9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高基表统计时点（9 月 1 日）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10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高基表报送截止 · 最好学科发布 · 社科立项公布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版（数据生产）· 2027 版（学科取数）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11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数据共享计划（DEP）填报启动 · 高被引名单发布；就业质量报告编制启动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2027 版（提报与取数）；2028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12 月</w:t>
            </w:r>
          </w:p>
        </w:tc>
        <w:tc>
          <w:tcPr>
            <w:tcW w:type="dxa" w:w="4876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本科教学质量报告发布期 · 就业质量报告发布</w:t>
            </w:r>
          </w:p>
        </w:tc>
        <w:tc>
          <w:tcPr>
            <w:tcW w:type="dxa" w:w="3628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</w:tbl>
    <w:p>
      <w:pPr>
        <w:pStyle w:val="Heading2"/>
      </w:pPr>
      <w:r>
        <w:t>A4 · 核查材料分布</w:t>
      </w:r>
    </w:p>
    <w:p>
      <w:pPr>
        <w:spacing w:after="80" w:before="16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A4 · 逐项核查材料条数分布（共 61 条）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195"/>
            <w:shd w:val="clear" w:fill="F5F3EF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指标组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条数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已核对</w:t>
            </w:r>
          </w:p>
        </w:tc>
        <w:tc>
          <w:tcPr>
            <w:tcW w:type="dxa" w:w="1020"/>
            <w:shd w:val="clear" w:fill="F5F3EF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逐项核查 · 计入项（2027）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39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25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14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逐项核查 · 备选事项项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17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12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</w:tr>
      <w:tr>
        <w:tc>
          <w:tcPr>
            <w:tcW w:type="dxa" w:w="4195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备选事项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</w:t>
            </w:r>
          </w:p>
        </w:tc>
        <w:tc>
          <w:tcPr>
            <w:tcW w:type="dxa" w:w="1020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</w:t>
            </w:r>
          </w:p>
        </w:tc>
      </w:tr>
      <w:tr>
        <w:tc>
          <w:tcPr>
            <w:tcW w:type="dxa" w:w="4195"/>
            <w:shd w:val="clear" w:fill="FAF8F1"/>
          </w:tcPr>
          <w:p>
            <w:pPr>
              <w:spacing w:after="40" w:before="40" w:line="312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61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1020"/>
            <w:shd w:val="clear" w:fill="FAF8F1"/>
          </w:tcPr>
          <w:p>
            <w:pPr>
              <w:spacing w:after="40" w:before="40" w:line="312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</w:tr>
    </w:tbl>
    <w:p>
      <w:pPr>
        <w:spacing w:after="120" w:before="0" w:line="360" w:lineRule="auto"/>
      </w:pPr>
      <w:r>
        <w:rPr>
          <w:rFonts w:ascii="Segoe UI" w:hAnsi="Segoe UI" w:eastAsia="Microsoft YaHei"/>
          <w:b w:val="0"/>
          <w:color w:val="8A9AAA"/>
          <w:sz w:val="18"/>
        </w:rPr>
        <w:t>注：本表按指标组统计核查材料条数；个别事项单独核查的，不计入本表。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版本 V1.0 · 2026 年 11 月 1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中北大学 · 软科中国大学排名提升工作简报</w:t>
      <w:tab/>
      <w:t>数据截至 2026 年 10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